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IN THE UNITED STATES PATENT AND TRADEMARK OFFICE</w:t>
      </w:r>
    </w:p>
    <w:p/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c>
          <w:tcPr>
            <w:tcW w:type="pct" w:w="55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In re Application of: Marguerite A. Okonkwo</w:t>
            </w:r>
          </w:p>
          <w:p>
            <w:pPr>
              <w:spacing w:after="6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Application No.: 17/482,913</w:t>
            </w:r>
          </w:p>
          <w:p>
            <w:pPr>
              <w:spacing w:after="6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Filed: September 23, 2021</w:t>
            </w:r>
          </w:p>
          <w:p>
            <w:pPr>
              <w:spacing w:after="6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For: Thermal Regulation System for Modular Battery Enclosures</w:t>
            </w:r>
          </w:p>
        </w:tc>
        <w:tc>
          <w:tcPr>
            <w:tcW w:type="pct" w:w="45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Examiner: D. R. Whitfield</w:t>
            </w:r>
          </w:p>
          <w:p>
            <w:pPr>
              <w:spacing w:after="6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Art Unit: 2836</w:t>
            </w:r>
          </w:p>
          <w:p>
            <w:pPr>
              <w:spacing w:after="6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Confirmation No.: 4417</w:t>
            </w:r>
          </w:p>
          <w:p>
            <w:pPr>
              <w:spacing w:after="6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Docket No.: OKN-2021-004</w:t>
            </w:r>
          </w:p>
        </w:tc>
      </w:tr>
    </w:tbl>
    <w:p/>
    <w:p>
      <w:pPr>
        <w:spacing w:after="20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AMENDMENT AND RESPONSE UNDER 37 C.F.R. § 1.111</w:t>
      </w:r>
    </w:p>
    <w:p/>
    <w:p>
      <w:pPr>
        <w:spacing w:after="20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Mail Stop Amendment</w:t>
      </w:r>
    </w:p>
    <w:p>
      <w:pPr>
        <w:spacing w:after="20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Commissioner for Patents</w:t>
      </w:r>
    </w:p>
    <w:p>
      <w:pPr>
        <w:spacing w:after="20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P.O. Box 1450</w:t>
      </w:r>
    </w:p>
    <w:p>
      <w:pPr>
        <w:spacing w:after="20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Alexandria, VA 22313-1450</w:t>
      </w:r>
    </w:p>
    <w:p/>
    <w:p>
      <w:pPr>
        <w:spacing w:after="20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Dear Sir or Madam:</w:t>
      </w:r>
    </w:p>
    <w:p>
      <w:pPr>
        <w:spacing w:after="20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In response to the Office Action mailed June 11, 2026, please amend the above-identified application as set forth below.</w:t>
      </w:r>
    </w:p>
    <w:p>
      <w:pPr>
        <w:spacing w:after="20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Reconsideration is respectfully requested in light of the amendments and/or remarks below.</w:t>
      </w:r>
    </w:p>
    <w:p>
      <w:pPr>
        <w:pStyle w:val="Heading1"/>
        <w:spacing w:after="200" w:before="36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INDEX</w:t>
      </w:r>
    </w:p>
    <w:p>
      <w:pPr>
        <w:spacing w:after="20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Amendments to the Claims</w:t>
      </w:r>
    </w:p>
    <w:p>
      <w:pPr>
        <w:spacing w:after="20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Remarks</w:t>
      </w:r>
    </w:p>
    <w:p>
      <w:pPr>
        <w:pStyle w:val="Heading1"/>
        <w:spacing w:after="200" w:before="36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AMENDMENTS TO THE CLAIMS</w:t>
      </w:r>
    </w:p>
    <w:p>
      <w:pPr>
        <w:spacing w:after="200" w:line="360"/>
      </w:pPr>
      <w:r>
        <w:rPr>
          <w:rFonts w:ascii="Times New Roman" w:cs="Times New Roman" w:eastAsia="Times New Roman" w:hAnsi="Times New Roman"/>
          <w:i/>
          <w:iCs/>
          <w:sz w:val="24"/>
          <w:szCs w:val="24"/>
        </w:rPr>
        <w:t xml:space="preserve">This listing of claims will replace all prior versions, and listings, of claims in the application:</w:t>
      </w:r>
    </w:p>
    <w:p>
      <w:pPr>
        <w:spacing w:after="80" w:before="160" w:line="36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1. (Currently Amended)</w:t>
      </w:r>
    </w:p>
    <w:p>
      <w:pPr>
        <w:spacing w:after="200" w:line="360"/>
      </w:pPr>
      <w:r>
        <w:rPr>
          <w:rFonts w:ascii="Times New Roman" w:cs="Times New Roman" w:eastAsia="Times New Roman" w:hAnsi="Times New Roman"/>
          <w:b/>
          <w:bCs/>
          <w:sz w:val="24"/>
          <w:szCs w:val="24"/>
          <w:highlight w:val="yellow"/>
          <w:highlightCs w:val="yellow"/>
        </w:rPr>
        <w:t xml:space="preserve">[Claim 1 text — show additions underlined and deletions in strikethrough]</w:t>
      </w:r>
    </w:p>
    <w:p>
      <w:pPr>
        <w:spacing w:after="80" w:before="160" w:line="36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2. (Currently Amended)</w:t>
      </w:r>
    </w:p>
    <w:p>
      <w:pPr>
        <w:spacing w:after="200" w:line="360"/>
      </w:pPr>
      <w:r>
        <w:rPr>
          <w:rFonts w:ascii="Times New Roman" w:cs="Times New Roman" w:eastAsia="Times New Roman" w:hAnsi="Times New Roman"/>
          <w:b/>
          <w:bCs/>
          <w:sz w:val="24"/>
          <w:szCs w:val="24"/>
          <w:highlight w:val="yellow"/>
          <w:highlightCs w:val="yellow"/>
        </w:rPr>
        <w:t xml:space="preserve">[Claim 2 text — show additions underlined and deletions in strikethrough]</w:t>
      </w:r>
    </w:p>
    <w:p>
      <w:pPr>
        <w:spacing w:after="80" w:before="160" w:line="36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3. (Original)</w:t>
      </w:r>
    </w:p>
    <w:p>
      <w:pPr>
        <w:spacing w:after="200" w:line="360"/>
      </w:pPr>
      <w:r>
        <w:rPr>
          <w:rFonts w:ascii="Times New Roman" w:cs="Times New Roman" w:eastAsia="Times New Roman" w:hAnsi="Times New Roman"/>
          <w:b/>
          <w:bCs/>
          <w:sz w:val="24"/>
          <w:szCs w:val="24"/>
          <w:highlight w:val="yellow"/>
          <w:highlightCs w:val="yellow"/>
        </w:rPr>
        <w:t xml:space="preserve">[Claim 3 text]</w:t>
      </w:r>
    </w:p>
    <w:p>
      <w:pPr>
        <w:spacing w:after="80" w:before="160" w:line="36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4. (Original)</w:t>
      </w:r>
    </w:p>
    <w:p>
      <w:pPr>
        <w:spacing w:after="200" w:line="360"/>
      </w:pPr>
      <w:r>
        <w:rPr>
          <w:rFonts w:ascii="Times New Roman" w:cs="Times New Roman" w:eastAsia="Times New Roman" w:hAnsi="Times New Roman"/>
          <w:b/>
          <w:bCs/>
          <w:sz w:val="24"/>
          <w:szCs w:val="24"/>
          <w:highlight w:val="yellow"/>
          <w:highlightCs w:val="yellow"/>
        </w:rPr>
        <w:t xml:space="preserve">[Claim 4 text]</w:t>
      </w:r>
    </w:p>
    <w:p>
      <w:pPr>
        <w:spacing w:after="80" w:before="160" w:line="36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5. (Original)</w:t>
      </w:r>
    </w:p>
    <w:p>
      <w:pPr>
        <w:spacing w:after="200" w:line="360"/>
      </w:pPr>
      <w:r>
        <w:rPr>
          <w:rFonts w:ascii="Times New Roman" w:cs="Times New Roman" w:eastAsia="Times New Roman" w:hAnsi="Times New Roman"/>
          <w:b/>
          <w:bCs/>
          <w:sz w:val="24"/>
          <w:szCs w:val="24"/>
          <w:highlight w:val="yellow"/>
          <w:highlightCs w:val="yellow"/>
        </w:rPr>
        <w:t xml:space="preserve">[Claim 5 text]</w:t>
      </w:r>
    </w:p>
    <w:p>
      <w:pPr>
        <w:spacing w:after="80" w:before="160" w:line="36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6. (Currently Amended)</w:t>
      </w:r>
    </w:p>
    <w:p>
      <w:pPr>
        <w:spacing w:after="200" w:line="360"/>
      </w:pPr>
      <w:r>
        <w:rPr>
          <w:rFonts w:ascii="Times New Roman" w:cs="Times New Roman" w:eastAsia="Times New Roman" w:hAnsi="Times New Roman"/>
          <w:b/>
          <w:bCs/>
          <w:sz w:val="24"/>
          <w:szCs w:val="24"/>
          <w:highlight w:val="yellow"/>
          <w:highlightCs w:val="yellow"/>
        </w:rPr>
        <w:t xml:space="preserve">[Claim 6 text — show additions underlined and deletions in strikethrough]</w:t>
      </w:r>
    </w:p>
    <w:p>
      <w:pPr>
        <w:spacing w:after="80" w:before="160" w:line="36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7. (Original)</w:t>
      </w:r>
    </w:p>
    <w:p>
      <w:pPr>
        <w:spacing w:after="200" w:line="360"/>
      </w:pPr>
      <w:r>
        <w:rPr>
          <w:rFonts w:ascii="Times New Roman" w:cs="Times New Roman" w:eastAsia="Times New Roman" w:hAnsi="Times New Roman"/>
          <w:b/>
          <w:bCs/>
          <w:sz w:val="24"/>
          <w:szCs w:val="24"/>
          <w:highlight w:val="yellow"/>
          <w:highlightCs w:val="yellow"/>
        </w:rPr>
        <w:t xml:space="preserve">[Claim 7 text]</w:t>
      </w:r>
    </w:p>
    <w:p>
      <w:pPr>
        <w:spacing w:after="80" w:before="160" w:line="36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8. (Previously Presented)</w:t>
      </w:r>
    </w:p>
    <w:p>
      <w:pPr>
        <w:spacing w:after="200" w:line="360"/>
      </w:pPr>
      <w:r>
        <w:rPr>
          <w:rFonts w:ascii="Times New Roman" w:cs="Times New Roman" w:eastAsia="Times New Roman" w:hAnsi="Times New Roman"/>
          <w:b/>
          <w:bCs/>
          <w:sz w:val="24"/>
          <w:szCs w:val="24"/>
          <w:highlight w:val="yellow"/>
          <w:highlightCs w:val="yellow"/>
        </w:rPr>
        <w:t xml:space="preserve">[Claim 8 text]</w:t>
      </w:r>
    </w:p>
    <w:p>
      <w:pPr>
        <w:spacing w:after="80" w:before="160" w:line="36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9. (Currently Amended)</w:t>
      </w:r>
    </w:p>
    <w:p>
      <w:pPr>
        <w:spacing w:after="200" w:line="360"/>
      </w:pPr>
      <w:r>
        <w:rPr>
          <w:rFonts w:ascii="Times New Roman" w:cs="Times New Roman" w:eastAsia="Times New Roman" w:hAnsi="Times New Roman"/>
          <w:b/>
          <w:bCs/>
          <w:sz w:val="24"/>
          <w:szCs w:val="24"/>
          <w:highlight w:val="yellow"/>
          <w:highlightCs w:val="yellow"/>
        </w:rPr>
        <w:t xml:space="preserve">[Claim 9 text — show additions underlined and deletions in strikethrough]</w:t>
      </w:r>
    </w:p>
    <w:p>
      <w:pPr>
        <w:spacing w:after="80" w:before="160" w:line="36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10. (Original)</w:t>
      </w:r>
    </w:p>
    <w:p>
      <w:pPr>
        <w:spacing w:after="200" w:line="360"/>
      </w:pPr>
      <w:r>
        <w:rPr>
          <w:rFonts w:ascii="Times New Roman" w:cs="Times New Roman" w:eastAsia="Times New Roman" w:hAnsi="Times New Roman"/>
          <w:b/>
          <w:bCs/>
          <w:sz w:val="24"/>
          <w:szCs w:val="24"/>
          <w:highlight w:val="yellow"/>
          <w:highlightCs w:val="yellow"/>
        </w:rPr>
        <w:t xml:space="preserve">[Claim 10 text]</w:t>
      </w:r>
    </w:p>
    <w:p>
      <w:pPr>
        <w:spacing w:after="80" w:before="160" w:line="36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11. (Original)</w:t>
      </w:r>
    </w:p>
    <w:p>
      <w:pPr>
        <w:spacing w:after="200" w:line="360"/>
      </w:pPr>
      <w:r>
        <w:rPr>
          <w:rFonts w:ascii="Times New Roman" w:cs="Times New Roman" w:eastAsia="Times New Roman" w:hAnsi="Times New Roman"/>
          <w:b/>
          <w:bCs/>
          <w:sz w:val="24"/>
          <w:szCs w:val="24"/>
          <w:highlight w:val="yellow"/>
          <w:highlightCs w:val="yellow"/>
        </w:rPr>
        <w:t xml:space="preserve">[Claim 11 text]</w:t>
      </w:r>
    </w:p>
    <w:p>
      <w:pPr>
        <w:spacing w:after="80" w:before="160" w:line="36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12. (Withdrawn)</w:t>
      </w:r>
    </w:p>
    <w:p>
      <w:pPr>
        <w:spacing w:after="200" w:line="360"/>
      </w:pPr>
      <w:r>
        <w:rPr>
          <w:rFonts w:ascii="Times New Roman" w:cs="Times New Roman" w:eastAsia="Times New Roman" w:hAnsi="Times New Roman"/>
          <w:b/>
          <w:bCs/>
          <w:sz w:val="24"/>
          <w:szCs w:val="24"/>
          <w:highlight w:val="yellow"/>
          <w:highlightCs w:val="yellow"/>
        </w:rPr>
        <w:t xml:space="preserve">[Reproduce withdrawn claim 12 verbatim — withdrawn claims must still be listed]</w:t>
      </w:r>
    </w:p>
    <w:p>
      <w:pPr>
        <w:pStyle w:val="Heading1"/>
        <w:spacing w:after="200" w:before="36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REMARKS</w:t>
      </w:r>
    </w:p>
    <w:p>
      <w:pPr>
        <w:spacing w:after="20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Claims 1-5, 7, 9-11 stand rejected.</w:t>
      </w:r>
    </w:p>
    <w:p>
      <w:pPr>
        <w:pStyle w:val="Heading2"/>
        <w:spacing w:after="200" w:before="36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Allowable Subject Matter</w:t>
      </w:r>
    </w:p>
    <w:p>
      <w:pPr>
        <w:spacing w:after="20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Claim 8 is indicated as containing allowable subject matter if rewritten in independent form including all limitations of claim 1 and any intervening claims.</w:t>
      </w:r>
    </w:p>
    <w:p>
      <w:pPr>
        <w:spacing w:after="200" w:line="360"/>
      </w:pPr>
      <w:r>
        <w:rPr>
          <w:rFonts w:ascii="Times New Roman" w:cs="Times New Roman" w:eastAsia="Times New Roman" w:hAnsi="Times New Roman"/>
          <w:b/>
          <w:bCs/>
          <w:sz w:val="24"/>
          <w:szCs w:val="24"/>
          <w:highlight w:val="yellow"/>
          <w:highlightCs w:val="yellow"/>
        </w:rPr>
        <w:t xml:space="preserve">[Response to the indication of allowable subject matter]</w:t>
      </w:r>
    </w:p>
    <w:p>
      <w:pPr>
        <w:pStyle w:val="Heading2"/>
        <w:spacing w:after="200" w:before="36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Claim Rejections Under 35 U.S.C. § 103</w:t>
      </w:r>
    </w:p>
    <w:p>
      <w:pPr>
        <w:spacing w:after="20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Claims 1 through 5 stand rejected under 35 U.S.C. § 103 as unpatentable over Halvorsen in view of Tanaka. The Applicant respectfully traverses these rejections for at least the following reasons.</w:t>
      </w:r>
    </w:p>
    <w:p>
      <w:pPr>
        <w:spacing w:after="200" w:line="360"/>
      </w:pPr>
      <w:r>
        <w:rPr>
          <w:rFonts w:ascii="Times New Roman" w:cs="Times New Roman" w:eastAsia="Times New Roman" w:hAnsi="Times New Roman"/>
          <w:i/>
          <w:iCs/>
          <w:sz w:val="24"/>
          <w:szCs w:val="24"/>
        </w:rPr>
        <w:t xml:space="preserve">The Examiner's position: Claims 1-5 are rejected as unpatentable over Halvorsen in view of Tanaka. The Examiner takes the position that Halvorsen discloses a modular enclosure with a coolant manifold, and that Tanaka teaches a phase-change thermal buffer adjacent the cell stack.</w:t>
      </w:r>
    </w:p>
    <w:p>
      <w:pPr>
        <w:spacing w:after="200" w:line="360"/>
      </w:pPr>
      <w:r>
        <w:rPr>
          <w:rFonts w:ascii="Times New Roman" w:cs="Times New Roman" w:eastAsia="Times New Roman" w:hAnsi="Times New Roman"/>
          <w:i/>
          <w:iCs/>
          <w:sz w:val="24"/>
          <w:szCs w:val="24"/>
        </w:rPr>
        <w:t xml:space="preserve">References applied: Halvorsen — US 10,847,312; Tanaka — US 2019/0221899</w:t>
      </w:r>
    </w:p>
    <w:p>
      <w:pPr>
        <w:spacing w:after="200" w:line="360"/>
      </w:pPr>
      <w:r>
        <w:rPr>
          <w:rFonts w:ascii="Times New Roman" w:cs="Times New Roman" w:eastAsia="Times New Roman" w:hAnsi="Times New Roman"/>
          <w:i/>
          <w:iCs/>
          <w:sz w:val="24"/>
          <w:szCs w:val="24"/>
        </w:rPr>
        <w:t xml:space="preserve">Stated motivation to combine: one of ordinary skill would have been motivated to incorporate the phase-change buffer of Tanaka into the enclosure of Halvorsen in order to reduce peak cell temperature during rapid discharge</w:t>
      </w:r>
    </w:p>
    <w:p>
      <w:pPr>
        <w:spacing w:after="200" w:line="360"/>
      </w:pPr>
      <w:r>
        <w:rPr>
          <w:rFonts w:ascii="Times New Roman" w:cs="Times New Roman" w:eastAsia="Times New Roman" w:hAnsi="Times New Roman"/>
          <w:b/>
          <w:bCs/>
          <w:sz w:val="24"/>
          <w:szCs w:val="24"/>
          <w:highlight w:val="yellow"/>
          <w:highlightCs w:val="yellow"/>
        </w:rPr>
        <w:t xml:space="preserve">[Argument]</w:t>
      </w:r>
    </w:p>
    <w:p>
      <w:pPr>
        <w:pStyle w:val="Heading2"/>
        <w:spacing w:after="200" w:before="36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Claim Rejections Under 35 U.S.C. § 103</w:t>
      </w:r>
    </w:p>
    <w:p>
      <w:pPr>
        <w:spacing w:after="20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Claims 9 through 11 stand rejected under 35 U.S.C. § 103 as unpatentable over Halvorsen in view of Tanaka in view of Brandt. The Applicant respectfully traverses these rejections for at least the following reasons.</w:t>
      </w:r>
    </w:p>
    <w:p>
      <w:pPr>
        <w:spacing w:after="200" w:line="360"/>
      </w:pPr>
      <w:r>
        <w:rPr>
          <w:rFonts w:ascii="Times New Roman" w:cs="Times New Roman" w:eastAsia="Times New Roman" w:hAnsi="Times New Roman"/>
          <w:i/>
          <w:iCs/>
          <w:sz w:val="24"/>
          <w:szCs w:val="24"/>
        </w:rPr>
        <w:t xml:space="preserve">The Examiner's position: Claims 9-11 are rejected as unpatentable over Halvorsen in view of Tanaka and further in view of Brandt, the Examiner asserting that Brandt supplies the recited distributed temperature sensing array.</w:t>
      </w:r>
    </w:p>
    <w:p>
      <w:pPr>
        <w:spacing w:after="200" w:line="360"/>
      </w:pPr>
      <w:r>
        <w:rPr>
          <w:rFonts w:ascii="Times New Roman" w:cs="Times New Roman" w:eastAsia="Times New Roman" w:hAnsi="Times New Roman"/>
          <w:i/>
          <w:iCs/>
          <w:sz w:val="24"/>
          <w:szCs w:val="24"/>
        </w:rPr>
        <w:t xml:space="preserve">References applied: Halvorsen — US 10,847,312; Tanaka — US 2019/0221899; Brandt — US 9,553,346</w:t>
      </w:r>
    </w:p>
    <w:p>
      <w:pPr>
        <w:spacing w:after="200" w:line="360"/>
      </w:pPr>
      <w:r>
        <w:rPr>
          <w:rFonts w:ascii="Times New Roman" w:cs="Times New Roman" w:eastAsia="Times New Roman" w:hAnsi="Times New Roman"/>
          <w:b/>
          <w:bCs/>
          <w:sz w:val="24"/>
          <w:szCs w:val="24"/>
          <w:highlight w:val="yellow"/>
          <w:highlightCs w:val="yellow"/>
        </w:rPr>
        <w:t xml:space="preserve">[The Office Action states no express reason to combine — confirm against the PDF before relying on this]</w:t>
      </w:r>
    </w:p>
    <w:p>
      <w:pPr>
        <w:spacing w:after="200" w:line="360"/>
      </w:pPr>
      <w:r>
        <w:rPr>
          <w:rFonts w:ascii="Times New Roman" w:cs="Times New Roman" w:eastAsia="Times New Roman" w:hAnsi="Times New Roman"/>
          <w:b/>
          <w:bCs/>
          <w:sz w:val="24"/>
          <w:szCs w:val="24"/>
          <w:highlight w:val="yellow"/>
          <w:highlightCs w:val="yellow"/>
        </w:rPr>
        <w:t xml:space="preserve">[Argument]</w:t>
      </w:r>
    </w:p>
    <w:p>
      <w:pPr>
        <w:pStyle w:val="Heading2"/>
        <w:spacing w:after="200" w:before="36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Claim Rejections Under 35 U.S.C. § 112</w:t>
      </w:r>
    </w:p>
    <w:p>
      <w:pPr>
        <w:spacing w:after="20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Claim 7 stand rejected under 35 U.S.C. § 112(b) as indefinite. The Applicant respectfully traverses these rejections for at least the following reasons.</w:t>
      </w:r>
    </w:p>
    <w:p>
      <w:pPr>
        <w:spacing w:after="200" w:line="360"/>
      </w:pPr>
      <w:r>
        <w:rPr>
          <w:rFonts w:ascii="Times New Roman" w:cs="Times New Roman" w:eastAsia="Times New Roman" w:hAnsi="Times New Roman"/>
          <w:i/>
          <w:iCs/>
          <w:sz w:val="24"/>
          <w:szCs w:val="24"/>
        </w:rPr>
        <w:t xml:space="preserve">The Examiner's position: Claim 7 is rejected as indefinite. The Examiner states that the phrase “substantially thermally isolated” is a relative term for which the specification provides no standard of measurement.</w:t>
      </w:r>
    </w:p>
    <w:p>
      <w:pPr>
        <w:spacing w:after="200" w:line="360"/>
      </w:pPr>
      <w:r>
        <w:rPr>
          <w:rFonts w:ascii="Times New Roman" w:cs="Times New Roman" w:eastAsia="Times New Roman" w:hAnsi="Times New Roman"/>
          <w:b/>
          <w:bCs/>
          <w:sz w:val="24"/>
          <w:szCs w:val="24"/>
          <w:highlight w:val="yellow"/>
          <w:highlightCs w:val="yellow"/>
        </w:rPr>
        <w:t xml:space="preserve">[Argument]</w:t>
      </w:r>
    </w:p>
    <w:p>
      <w:pPr>
        <w:pStyle w:val="Heading2"/>
        <w:spacing w:after="200" w:before="36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Objection to the Claims — Claims 6</w:t>
      </w:r>
    </w:p>
    <w:p>
      <w:pPr>
        <w:spacing w:after="200" w:line="360"/>
      </w:pPr>
      <w:r>
        <w:rPr>
          <w:rFonts w:ascii="Times New Roman" w:cs="Times New Roman" w:eastAsia="Times New Roman" w:hAnsi="Times New Roman"/>
          <w:i/>
          <w:iCs/>
          <w:sz w:val="24"/>
          <w:szCs w:val="24"/>
        </w:rPr>
        <w:t xml:space="preserve">The Examiner's position: Claim 6 is objected to for an informality: “the coolant channel” lacks clear antecedent basis, claim 1 having recited “a plurality of coolant channels.”</w:t>
      </w:r>
    </w:p>
    <w:p>
      <w:pPr>
        <w:spacing w:after="200" w:line="360"/>
      </w:pPr>
      <w:r>
        <w:rPr>
          <w:rFonts w:ascii="Times New Roman" w:cs="Times New Roman" w:eastAsia="Times New Roman" w:hAnsi="Times New Roman"/>
          <w:b/>
          <w:bCs/>
          <w:sz w:val="24"/>
          <w:szCs w:val="24"/>
          <w:highlight w:val="yellow"/>
          <w:highlightCs w:val="yellow"/>
        </w:rPr>
        <w:t xml:space="preserve">[Response]</w:t>
      </w:r>
    </w:p>
    <w:p>
      <w:pPr>
        <w:pStyle w:val="Heading2"/>
        <w:spacing w:after="200" w:before="36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Objection to the Drawings</w:t>
      </w:r>
    </w:p>
    <w:p>
      <w:pPr>
        <w:spacing w:after="200" w:line="360"/>
      </w:pPr>
      <w:r>
        <w:rPr>
          <w:rFonts w:ascii="Times New Roman" w:cs="Times New Roman" w:eastAsia="Times New Roman" w:hAnsi="Times New Roman"/>
          <w:i/>
          <w:iCs/>
          <w:sz w:val="24"/>
          <w:szCs w:val="24"/>
        </w:rPr>
        <w:t xml:space="preserve">The Examiner's position: The drawings are objected to because reference character “214” is used to designate both the manifold inlet in Figure 2 and the sensor housing in Figure 4.</w:t>
      </w:r>
    </w:p>
    <w:p>
      <w:pPr>
        <w:spacing w:after="200" w:line="360"/>
      </w:pPr>
      <w:r>
        <w:rPr>
          <w:rFonts w:ascii="Times New Roman" w:cs="Times New Roman" w:eastAsia="Times New Roman" w:hAnsi="Times New Roman"/>
          <w:b/>
          <w:bCs/>
          <w:sz w:val="24"/>
          <w:szCs w:val="24"/>
          <w:highlight w:val="yellow"/>
          <w:highlightCs w:val="yellow"/>
        </w:rPr>
        <w:t xml:space="preserve">[Response]</w:t>
      </w:r>
    </w:p>
    <w:p>
      <w:pPr>
        <w:pStyle w:val="Heading1"/>
        <w:spacing w:after="200" w:before="36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CONCLUSION</w:t>
      </w:r>
    </w:p>
    <w:p>
      <w:pPr>
        <w:spacing w:after="20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For at least the reasons presented above, the Applicant respectfully requests that the outstanding rejections be withdrawn and a Notice of Allowance issued for all pending claims.</w:t>
      </w:r>
    </w:p>
    <w:p>
      <w:pPr>
        <w:spacing w:after="20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Should the Examiner believe a telephone conference would advance prosecution, the Examiner is invited to contact the undersigned at the number below.</w:t>
      </w:r>
    </w:p>
    <w:p/>
    <w:p>
      <w:pPr>
        <w:spacing w:after="20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Respectfully submitted,</w:t>
      </w:r>
    </w:p>
    <w:p/>
    <w:p/>
    <w:p>
      <w:pPr>
        <w:spacing w:after="200" w:line="360"/>
      </w:pPr>
      <w:r>
        <w:rPr>
          <w:rFonts w:ascii="Times New Roman" w:cs="Times New Roman" w:eastAsia="Times New Roman" w:hAnsi="Times New Roman"/>
          <w:b/>
          <w:bCs/>
          <w:sz w:val="24"/>
          <w:szCs w:val="24"/>
          <w:highlight w:val="yellow"/>
          <w:highlightCs w:val="yellow"/>
        </w:rPr>
        <w:t xml:space="preserve">[/Attorney signature/]</w:t>
      </w:r>
    </w:p>
    <w:p>
      <w:pPr>
        <w:spacing w:after="200" w:line="360"/>
      </w:pPr>
      <w:r>
        <w:rPr>
          <w:rFonts w:ascii="Times New Roman" w:cs="Times New Roman" w:eastAsia="Times New Roman" w:hAnsi="Times New Roman"/>
          <w:b/>
          <w:bCs/>
          <w:sz w:val="24"/>
          <w:szCs w:val="24"/>
          <w:highlight w:val="yellow"/>
          <w:highlightCs w:val="yellow"/>
        </w:rPr>
        <w:t xml:space="preserve">[Attorney name]</w:t>
      </w:r>
    </w:p>
    <w:p>
      <w:pPr>
        <w:spacing w:after="200" w:line="360"/>
      </w:pPr>
      <w:r>
        <w:rPr>
          <w:rFonts w:ascii="Times New Roman" w:cs="Times New Roman" w:eastAsia="Times New Roman" w:hAnsi="Times New Roman"/>
          <w:b/>
          <w:bCs/>
          <w:sz w:val="24"/>
          <w:szCs w:val="24"/>
          <w:highlight w:val="yellow"/>
          <w:highlightCs w:val="yellow"/>
        </w:rPr>
        <w:t xml:space="preserve">[Reg. No.]</w:t>
      </w:r>
    </w:p>
    <w:p>
      <w:pPr>
        <w:spacing w:after="20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Okonkwo &amp; Reyes LLP</w:t>
      </w:r>
    </w:p>
    <w:p>
      <w:pPr>
        <w:spacing w:after="200" w:line="360"/>
      </w:pPr>
      <w:r>
        <w:rPr>
          <w:rFonts w:ascii="Times New Roman" w:cs="Times New Roman" w:eastAsia="Times New Roman" w:hAnsi="Times New Roman"/>
          <w:b/>
          <w:bCs/>
          <w:sz w:val="24"/>
          <w:szCs w:val="24"/>
          <w:highlight w:val="yellow"/>
          <w:highlightCs w:val="yellow"/>
        </w:rPr>
        <w:t xml:space="preserve">[Telephone]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Times New Roman" w:cs="Times New Roman" w:eastAsia="Times New Roman" w:hAnsi="Times New Roman"/>
        <w:sz w:val="20"/>
        <w:szCs w:val="20"/>
      </w:rPr>
      <w:t xml:space="preserve">Application No. 17/482,913  —  Page </w:t>
      <w:fldChar w:fldCharType="begin"/>
      <w:instrText xml:space="preserve">PAGE</w:instrText>
      <w:fldChar w:fldCharType="separate"/>
      <w:fldChar w:fldCharType="end"/>
      <w:t xml:space="preserve"> of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Response — 17/482,913</dc:title>
  <dc:creator>Patentshell</dc:creator>
  <dc:description>Response shell generated from the Office Action mailed June 11, 2026</dc:description>
  <cp:lastModifiedBy>Un-named</cp:lastModifiedBy>
  <cp:revision>1</cp:revision>
  <dcterms:created xsi:type="dcterms:W3CDTF">2026-09-15T21:57:15.723Z</dcterms:created>
  <dcterms:modified xsi:type="dcterms:W3CDTF">2026-09-15T21:57:15.723Z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